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33" w:rsidRPr="00B36933" w:rsidRDefault="003C56C6" w:rsidP="00B3693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- Załącznik nr 3</w:t>
      </w:r>
      <w:r w:rsidR="00B36933" w:rsidRPr="00B36933">
        <w:rPr>
          <w:sz w:val="20"/>
          <w:szCs w:val="20"/>
        </w:rPr>
        <w:t xml:space="preserve"> –</w:t>
      </w:r>
    </w:p>
    <w:p w:rsidR="00B36933" w:rsidRPr="00B36933" w:rsidRDefault="00B36933" w:rsidP="00B36933">
      <w:pPr>
        <w:pStyle w:val="Default"/>
        <w:jc w:val="center"/>
        <w:rPr>
          <w:sz w:val="20"/>
          <w:szCs w:val="20"/>
        </w:rPr>
      </w:pPr>
      <w:r w:rsidRPr="00B36933">
        <w:rPr>
          <w:sz w:val="20"/>
          <w:szCs w:val="20"/>
        </w:rPr>
        <w:t xml:space="preserve">Regulaminu </w:t>
      </w:r>
      <w:r w:rsidR="0069600B">
        <w:rPr>
          <w:sz w:val="20"/>
          <w:szCs w:val="20"/>
        </w:rPr>
        <w:t>Bilardowej Ekstraklasy</w:t>
      </w:r>
      <w:r w:rsidR="003C56C6">
        <w:rPr>
          <w:sz w:val="20"/>
          <w:szCs w:val="20"/>
        </w:rPr>
        <w:t xml:space="preserve"> Polskiej Ligi Bilardowej 2015</w:t>
      </w:r>
    </w:p>
    <w:p w:rsidR="00B36933" w:rsidRPr="00B36933" w:rsidRDefault="00B36933" w:rsidP="00B36933">
      <w:pPr>
        <w:pStyle w:val="Default"/>
        <w:jc w:val="center"/>
        <w:rPr>
          <w:b/>
          <w:bCs/>
          <w:sz w:val="28"/>
          <w:szCs w:val="28"/>
        </w:rPr>
      </w:pPr>
    </w:p>
    <w:p w:rsidR="0069600B" w:rsidRDefault="0069600B" w:rsidP="0069600B">
      <w:pPr>
        <w:jc w:val="center"/>
        <w:rPr>
          <w:b/>
          <w:sz w:val="28"/>
        </w:rPr>
      </w:pPr>
    </w:p>
    <w:p w:rsidR="0069600B" w:rsidRDefault="0069600B" w:rsidP="0069600B">
      <w:pPr>
        <w:jc w:val="center"/>
        <w:rPr>
          <w:b/>
          <w:sz w:val="28"/>
        </w:rPr>
      </w:pP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1. Opłata startowa do </w:t>
      </w:r>
      <w:r>
        <w:rPr>
          <w:sz w:val="24"/>
        </w:rPr>
        <w:t>Bilardowej Ekstraklasy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- 1.350 zł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>2. Niestawienie się na mecz ligowy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- 300 zł.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3. Nieterminowe rozegranie meczu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- 300 zł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4. Przegrana meczu walkowerem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- 300 zł.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5. Niewłaściwe wykonywanie obowiązków sędziego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- 200 zł.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6. Zmiana nazwy klubu w trakcie sezonu ( po akceptacji KPLB 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- 500 zł.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>7. Nieterminowe lub niekompletne przesłanie sprawozdania medialnego</w:t>
      </w:r>
      <w:r w:rsidR="00163594">
        <w:rPr>
          <w:sz w:val="24"/>
        </w:rPr>
        <w:tab/>
      </w:r>
      <w:r w:rsidR="00163594">
        <w:rPr>
          <w:sz w:val="24"/>
        </w:rPr>
        <w:tab/>
      </w:r>
      <w:r w:rsidRPr="00EB4867">
        <w:rPr>
          <w:sz w:val="24"/>
        </w:rPr>
        <w:t>- 100 zł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8. Brak w sali gier </w:t>
      </w:r>
      <w:proofErr w:type="spellStart"/>
      <w:r w:rsidRPr="00EB4867">
        <w:rPr>
          <w:sz w:val="24"/>
        </w:rPr>
        <w:t>baneru</w:t>
      </w:r>
      <w:proofErr w:type="spellEnd"/>
      <w:r w:rsidRPr="00EB4867">
        <w:rPr>
          <w:sz w:val="24"/>
        </w:rPr>
        <w:t xml:space="preserve"> reklamowego Polskiej Ligi Bilardowej</w:t>
      </w:r>
      <w:r w:rsidR="00163594">
        <w:rPr>
          <w:sz w:val="24"/>
        </w:rPr>
        <w:tab/>
      </w:r>
      <w:r w:rsidR="00163594">
        <w:rPr>
          <w:sz w:val="24"/>
        </w:rPr>
        <w:tab/>
      </w:r>
      <w:r w:rsidR="00163594">
        <w:rPr>
          <w:sz w:val="24"/>
        </w:rPr>
        <w:tab/>
      </w:r>
      <w:bookmarkStart w:id="0" w:name="_GoBack"/>
      <w:bookmarkEnd w:id="0"/>
      <w:r w:rsidRPr="00EB4867">
        <w:rPr>
          <w:sz w:val="24"/>
        </w:rPr>
        <w:t>- 100 zł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9. Niespełnienie wymogów zawartych w &amp; 1 pkt. 10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- 600 zł</w:t>
      </w:r>
    </w:p>
    <w:p w:rsidR="0069600B" w:rsidRDefault="0069600B" w:rsidP="0069600B">
      <w:pPr>
        <w:tabs>
          <w:tab w:val="left" w:pos="3690"/>
        </w:tabs>
        <w:rPr>
          <w:b/>
          <w:sz w:val="24"/>
        </w:rPr>
      </w:pPr>
      <w:r>
        <w:rPr>
          <w:sz w:val="24"/>
        </w:rPr>
        <w:t>10</w:t>
      </w:r>
      <w:r w:rsidRPr="00EB4867">
        <w:rPr>
          <w:sz w:val="24"/>
        </w:rPr>
        <w:t xml:space="preserve">. Wycofanie zespołu w trakcie sezonu ( zgodnie z &amp; 9 )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- 2.000 zł</w:t>
      </w:r>
      <w:r>
        <w:rPr>
          <w:b/>
          <w:sz w:val="24"/>
        </w:rPr>
        <w:tab/>
      </w:r>
    </w:p>
    <w:p w:rsidR="0069600B" w:rsidRDefault="0069600B" w:rsidP="0069600B">
      <w:pPr>
        <w:rPr>
          <w:b/>
          <w:sz w:val="24"/>
        </w:rPr>
      </w:pPr>
    </w:p>
    <w:p w:rsidR="0069600B" w:rsidRDefault="0069600B" w:rsidP="0069600B">
      <w:pPr>
        <w:rPr>
          <w:b/>
          <w:sz w:val="24"/>
        </w:rPr>
      </w:pPr>
    </w:p>
    <w:p w:rsidR="0069600B" w:rsidRDefault="0069600B" w:rsidP="0069600B">
      <w:pPr>
        <w:rPr>
          <w:b/>
          <w:sz w:val="24"/>
        </w:rPr>
      </w:pPr>
    </w:p>
    <w:p w:rsidR="0069600B" w:rsidRDefault="0069600B" w:rsidP="0069600B">
      <w:pPr>
        <w:jc w:val="center"/>
        <w:rPr>
          <w:sz w:val="24"/>
        </w:rPr>
      </w:pPr>
      <w:r>
        <w:rPr>
          <w:sz w:val="24"/>
        </w:rPr>
        <w:t xml:space="preserve">Wszystkie opłaty należy wpłacać na konto </w:t>
      </w:r>
      <w:proofErr w:type="spellStart"/>
      <w:r>
        <w:rPr>
          <w:sz w:val="24"/>
        </w:rPr>
        <w:t>PZBil</w:t>
      </w:r>
      <w:proofErr w:type="spellEnd"/>
      <w:r>
        <w:rPr>
          <w:sz w:val="24"/>
        </w:rPr>
        <w:t>:</w:t>
      </w:r>
    </w:p>
    <w:p w:rsidR="0069600B" w:rsidRDefault="0069600B" w:rsidP="0069600B">
      <w:pPr>
        <w:pStyle w:val="Standard"/>
        <w:jc w:val="center"/>
        <w:rPr>
          <w:sz w:val="24"/>
        </w:rPr>
      </w:pPr>
    </w:p>
    <w:p w:rsidR="0069600B" w:rsidRDefault="0069600B" w:rsidP="0069600B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Kredyt Bank Oddział Kielce</w:t>
      </w:r>
    </w:p>
    <w:p w:rsidR="0069600B" w:rsidRDefault="0069600B" w:rsidP="0069600B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23150014581214500476880000</w:t>
      </w:r>
    </w:p>
    <w:p w:rsidR="0069600B" w:rsidRDefault="0069600B" w:rsidP="0069600B">
      <w:pPr>
        <w:rPr>
          <w:b/>
          <w:sz w:val="24"/>
        </w:rPr>
      </w:pPr>
    </w:p>
    <w:p w:rsidR="0069600B" w:rsidRDefault="0069600B" w:rsidP="0069600B">
      <w:pPr>
        <w:jc w:val="center"/>
        <w:rPr>
          <w:b/>
          <w:sz w:val="24"/>
        </w:rPr>
      </w:pPr>
    </w:p>
    <w:p w:rsidR="0069600B" w:rsidRDefault="0069600B" w:rsidP="0069600B">
      <w:pPr>
        <w:jc w:val="center"/>
        <w:rPr>
          <w:b/>
          <w:sz w:val="24"/>
        </w:rPr>
      </w:pPr>
      <w:r>
        <w:rPr>
          <w:b/>
          <w:sz w:val="24"/>
        </w:rPr>
        <w:t>Nagrody:</w:t>
      </w:r>
    </w:p>
    <w:p w:rsidR="0069600B" w:rsidRDefault="0069600B" w:rsidP="0069600B">
      <w:pPr>
        <w:jc w:val="center"/>
        <w:rPr>
          <w:b/>
          <w:sz w:val="24"/>
        </w:rPr>
      </w:pPr>
    </w:p>
    <w:p w:rsidR="0069600B" w:rsidRDefault="00163594" w:rsidP="0069600B">
      <w:pPr>
        <w:pStyle w:val="Nagwek3"/>
        <w:numPr>
          <w:ilvl w:val="0"/>
          <w:numId w:val="0"/>
        </w:numPr>
        <w:ind w:left="566"/>
        <w:jc w:val="center"/>
        <w:rPr>
          <w:b/>
        </w:rPr>
      </w:pPr>
      <w:r>
        <w:rPr>
          <w:b/>
        </w:rPr>
        <w:t>BILARDOWA EKSTRAKLASA</w:t>
      </w:r>
    </w:p>
    <w:p w:rsidR="0069600B" w:rsidRDefault="0069600B" w:rsidP="0069600B">
      <w:pPr>
        <w:jc w:val="center"/>
        <w:rPr>
          <w:lang w:eastAsia="zh-CN"/>
        </w:rPr>
      </w:pPr>
    </w:p>
    <w:p w:rsidR="0069600B" w:rsidRDefault="0069600B" w:rsidP="0069600B">
      <w:pPr>
        <w:jc w:val="center"/>
        <w:rPr>
          <w:sz w:val="24"/>
        </w:rPr>
      </w:pPr>
      <w:r>
        <w:rPr>
          <w:sz w:val="24"/>
        </w:rPr>
        <w:t>I miejsce</w:t>
      </w:r>
      <w:r>
        <w:rPr>
          <w:sz w:val="24"/>
        </w:rPr>
        <w:tab/>
        <w:t>- 6.000 zł + puchar i medale</w:t>
      </w:r>
    </w:p>
    <w:p w:rsidR="0069600B" w:rsidRDefault="0069600B" w:rsidP="0069600B">
      <w:pPr>
        <w:jc w:val="center"/>
        <w:rPr>
          <w:sz w:val="24"/>
        </w:rPr>
      </w:pPr>
      <w:r>
        <w:rPr>
          <w:sz w:val="24"/>
        </w:rPr>
        <w:t>II miejsce</w:t>
      </w:r>
      <w:r>
        <w:rPr>
          <w:sz w:val="24"/>
        </w:rPr>
        <w:tab/>
        <w:t>- 4.000 zł + puchar + medale</w:t>
      </w:r>
    </w:p>
    <w:p w:rsidR="0069600B" w:rsidRDefault="0069600B" w:rsidP="0069600B">
      <w:pPr>
        <w:jc w:val="center"/>
        <w:rPr>
          <w:sz w:val="24"/>
        </w:rPr>
      </w:pPr>
      <w:r>
        <w:rPr>
          <w:sz w:val="24"/>
        </w:rPr>
        <w:t>III miejsce</w:t>
      </w:r>
      <w:r>
        <w:rPr>
          <w:sz w:val="24"/>
        </w:rPr>
        <w:tab/>
        <w:t>- 3.000 zł + puchar + medale</w:t>
      </w:r>
    </w:p>
    <w:p w:rsidR="0069600B" w:rsidRDefault="0069600B" w:rsidP="0069600B">
      <w:pPr>
        <w:jc w:val="center"/>
        <w:rPr>
          <w:sz w:val="24"/>
        </w:rPr>
      </w:pPr>
    </w:p>
    <w:p w:rsidR="0069600B" w:rsidRDefault="0069600B" w:rsidP="0069600B">
      <w:pPr>
        <w:rPr>
          <w:sz w:val="24"/>
        </w:rPr>
      </w:pPr>
    </w:p>
    <w:p w:rsidR="0069600B" w:rsidRDefault="0069600B" w:rsidP="0069600B">
      <w:pPr>
        <w:rPr>
          <w:sz w:val="24"/>
        </w:rPr>
      </w:pPr>
    </w:p>
    <w:p w:rsidR="0069600B" w:rsidRDefault="0069600B" w:rsidP="0069600B">
      <w:pPr>
        <w:rPr>
          <w:sz w:val="24"/>
        </w:rPr>
      </w:pPr>
    </w:p>
    <w:p w:rsidR="0069600B" w:rsidRDefault="0069600B" w:rsidP="0069600B">
      <w:pPr>
        <w:rPr>
          <w:sz w:val="24"/>
        </w:rPr>
      </w:pPr>
    </w:p>
    <w:p w:rsidR="0069600B" w:rsidRDefault="0069600B" w:rsidP="0069600B">
      <w:pPr>
        <w:pStyle w:val="Nagwek1"/>
        <w:numPr>
          <w:ilvl w:val="0"/>
          <w:numId w:val="0"/>
        </w:numPr>
        <w:jc w:val="center"/>
        <w:rPr>
          <w:b/>
        </w:rPr>
      </w:pPr>
      <w:r>
        <w:rPr>
          <w:b/>
        </w:rPr>
        <w:t>KOMISJA POLSKIEJ LIGI BILARDOWEJ</w:t>
      </w:r>
    </w:p>
    <w:p w:rsidR="0069600B" w:rsidRDefault="0069600B" w:rsidP="0069600B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>83-110 Tczew ul. Kard. Wyszyńskiego 18</w:t>
      </w:r>
    </w:p>
    <w:p w:rsidR="0069600B" w:rsidRPr="00EB4867" w:rsidRDefault="0069600B" w:rsidP="0069600B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 xml:space="preserve">tel. 602 36 47 48, fax. </w:t>
      </w:r>
      <w:r w:rsidRPr="00EB4867">
        <w:rPr>
          <w:rFonts w:ascii="TimesNewRoman" w:hAnsi="TimesNewRoman" w:cs="TimesNewRoman"/>
          <w:color w:val="000000"/>
          <w:sz w:val="26"/>
          <w:szCs w:val="26"/>
        </w:rPr>
        <w:t>(058) 777 44 84</w:t>
      </w:r>
    </w:p>
    <w:p w:rsidR="0069600B" w:rsidRPr="00EB4867" w:rsidRDefault="0069600B" w:rsidP="0069600B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FF"/>
          <w:sz w:val="30"/>
          <w:szCs w:val="30"/>
        </w:rPr>
      </w:pPr>
      <w:r w:rsidRPr="00EB4867">
        <w:rPr>
          <w:rFonts w:ascii="TimesNewRoman" w:hAnsi="TimesNewRoman" w:cs="TimesNewRoman"/>
          <w:color w:val="000000"/>
          <w:sz w:val="26"/>
          <w:szCs w:val="26"/>
        </w:rPr>
        <w:t xml:space="preserve">e-mail: </w:t>
      </w:r>
      <w:r w:rsidRPr="00EB4867">
        <w:rPr>
          <w:rFonts w:ascii="TimesNewRoman" w:hAnsi="TimesNewRoman" w:cs="TimesNewRoman"/>
          <w:color w:val="0000FF"/>
          <w:sz w:val="30"/>
          <w:szCs w:val="30"/>
        </w:rPr>
        <w:t xml:space="preserve">2liga@bilard-sport.pl </w:t>
      </w:r>
      <w:r w:rsidRPr="00EB4867">
        <w:rPr>
          <w:rFonts w:ascii="TimesNewRoman" w:hAnsi="TimesNewRoman" w:cs="TimesNewRoman"/>
          <w:color w:val="000000"/>
          <w:sz w:val="30"/>
          <w:szCs w:val="30"/>
        </w:rPr>
        <w:t xml:space="preserve">, </w:t>
      </w:r>
      <w:hyperlink r:id="rId6" w:history="1">
        <w:r w:rsidRPr="00EB4867">
          <w:rPr>
            <w:rStyle w:val="Hipercze"/>
            <w:rFonts w:ascii="TimesNewRoman" w:hAnsi="TimesNewRoman" w:cs="TimesNewRoman"/>
            <w:sz w:val="30"/>
            <w:szCs w:val="30"/>
          </w:rPr>
          <w:t>www.bilard-sport.pl</w:t>
        </w:r>
      </w:hyperlink>
    </w:p>
    <w:p w:rsidR="0069600B" w:rsidRPr="003D050D" w:rsidRDefault="0069600B" w:rsidP="0069600B">
      <w:pPr>
        <w:pStyle w:val="Standard"/>
        <w:jc w:val="center"/>
        <w:rPr>
          <w:sz w:val="22"/>
          <w:szCs w:val="22"/>
        </w:rPr>
      </w:pPr>
      <w:r>
        <w:rPr>
          <w:rFonts w:ascii="TimesNewRoman" w:hAnsi="TimesNewRoman" w:cs="TimesNewRoman"/>
          <w:sz w:val="30"/>
          <w:szCs w:val="30"/>
        </w:rPr>
        <w:t xml:space="preserve">Arkadiusz </w:t>
      </w:r>
      <w:proofErr w:type="spellStart"/>
      <w:r>
        <w:rPr>
          <w:rFonts w:ascii="TimesNewRoman" w:hAnsi="TimesNewRoman" w:cs="TimesNewRoman"/>
          <w:sz w:val="30"/>
          <w:szCs w:val="30"/>
        </w:rPr>
        <w:t>Sząszor</w:t>
      </w:r>
      <w:proofErr w:type="spellEnd"/>
      <w:r>
        <w:rPr>
          <w:rFonts w:ascii="TimesNewRoman" w:hAnsi="TimesNewRoman" w:cs="TimesNewRoman"/>
          <w:sz w:val="30"/>
          <w:szCs w:val="30"/>
        </w:rPr>
        <w:t xml:space="preserve"> – </w:t>
      </w:r>
      <w:r w:rsidR="003F44F4">
        <w:rPr>
          <w:rFonts w:ascii="TimesNewRoman" w:hAnsi="TimesNewRoman" w:cs="TimesNewRoman"/>
          <w:sz w:val="30"/>
          <w:szCs w:val="30"/>
        </w:rPr>
        <w:t>przewodniczący</w:t>
      </w:r>
      <w:r>
        <w:rPr>
          <w:rFonts w:ascii="TimesNewRoman" w:hAnsi="TimesNewRoman" w:cs="TimesNewRoman"/>
          <w:sz w:val="30"/>
          <w:szCs w:val="30"/>
        </w:rPr>
        <w:t xml:space="preserve"> Komisji PLB</w:t>
      </w:r>
    </w:p>
    <w:p w:rsidR="00260803" w:rsidRPr="00B36933" w:rsidRDefault="00260803" w:rsidP="00B36933">
      <w:pPr>
        <w:jc w:val="center"/>
      </w:pPr>
    </w:p>
    <w:sectPr w:rsidR="00260803" w:rsidRPr="00B3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33"/>
    <w:rsid w:val="000E0E9D"/>
    <w:rsid w:val="001433AE"/>
    <w:rsid w:val="00163594"/>
    <w:rsid w:val="00260803"/>
    <w:rsid w:val="003C56C6"/>
    <w:rsid w:val="003F44F4"/>
    <w:rsid w:val="00625657"/>
    <w:rsid w:val="0069600B"/>
    <w:rsid w:val="008C6654"/>
    <w:rsid w:val="00B36933"/>
    <w:rsid w:val="00C409C2"/>
    <w:rsid w:val="00C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600B"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69600B"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paragraph" w:customStyle="1" w:styleId="Default">
    <w:name w:val="Default"/>
    <w:rsid w:val="00B3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693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9600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69600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6960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600B"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69600B"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paragraph" w:customStyle="1" w:styleId="Default">
    <w:name w:val="Default"/>
    <w:rsid w:val="00B3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693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9600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69600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6960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ard-sport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</cp:lastModifiedBy>
  <cp:revision>10</cp:revision>
  <cp:lastPrinted>2014-01-03T11:39:00Z</cp:lastPrinted>
  <dcterms:created xsi:type="dcterms:W3CDTF">2014-01-03T11:34:00Z</dcterms:created>
  <dcterms:modified xsi:type="dcterms:W3CDTF">2015-01-15T10:23:00Z</dcterms:modified>
</cp:coreProperties>
</file>